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4B" w:rsidRPr="00C90159" w:rsidRDefault="00FF226F">
      <w:pPr>
        <w:rPr>
          <w:rFonts w:cstheme="minorHAnsi"/>
          <w:b/>
          <w:sz w:val="24"/>
          <w:szCs w:val="24"/>
        </w:rPr>
      </w:pPr>
      <w:r w:rsidRPr="00C90159">
        <w:rPr>
          <w:rFonts w:cstheme="minorHAnsi"/>
          <w:b/>
          <w:sz w:val="24"/>
          <w:szCs w:val="24"/>
          <w:u w:val="single"/>
        </w:rPr>
        <w:t>TOPIC</w:t>
      </w:r>
      <w:r w:rsidR="00BA734B" w:rsidRPr="00C90159">
        <w:rPr>
          <w:rFonts w:cstheme="minorHAnsi"/>
          <w:b/>
          <w:sz w:val="24"/>
          <w:szCs w:val="24"/>
        </w:rPr>
        <w:t>: Investigate how antiperspira</w:t>
      </w:r>
      <w:r w:rsidR="008A0A42" w:rsidRPr="00C90159">
        <w:rPr>
          <w:rFonts w:cstheme="minorHAnsi"/>
          <w:b/>
          <w:sz w:val="24"/>
          <w:szCs w:val="24"/>
        </w:rPr>
        <w:t xml:space="preserve">nt/deodorant products </w:t>
      </w:r>
      <w:r w:rsidR="00BA734B" w:rsidRPr="00C90159">
        <w:rPr>
          <w:rFonts w:cstheme="minorHAnsi"/>
          <w:b/>
          <w:sz w:val="24"/>
          <w:szCs w:val="24"/>
        </w:rPr>
        <w:t>are marketed.</w:t>
      </w:r>
    </w:p>
    <w:p w:rsidR="00C90159" w:rsidRPr="00C90159" w:rsidRDefault="00BA734B" w:rsidP="00C90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cstheme="minorHAnsi"/>
          <w:b/>
          <w:sz w:val="24"/>
          <w:szCs w:val="24"/>
        </w:rPr>
        <w:t>Task 1</w:t>
      </w:r>
      <w:r w:rsidR="00C90159" w:rsidRPr="00C90159">
        <w:rPr>
          <w:rFonts w:cstheme="minorHAnsi"/>
          <w:color w:val="000000" w:themeColor="text1"/>
          <w:sz w:val="24"/>
          <w:szCs w:val="24"/>
        </w:rPr>
        <w:t xml:space="preserve">: </w:t>
      </w:r>
      <w:r w:rsidR="00C90159"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Compare how antiperspirant/deodorant products (at least 2) are advertised on television and in print. You should use examples of existing advertising, and consider: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channel or publication in which the adverts appeared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Who produced the product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use of key slogans or logos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main images or text, and the message this gives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The style and tone of the adverts</w:t>
      </w:r>
    </w:p>
    <w:p w:rsidR="00C90159" w:rsidRDefault="00C90159" w:rsidP="00C90159">
      <w:pPr>
        <w:pStyle w:val="ListParagraph"/>
        <w:spacing w:after="0" w:line="240" w:lineRule="auto"/>
        <w:ind w:left="648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[20 marks]</w:t>
      </w:r>
    </w:p>
    <w:p w:rsidR="003E594F" w:rsidRPr="00C90159" w:rsidRDefault="003E594F" w:rsidP="00C90159">
      <w:pPr>
        <w:pStyle w:val="ListParagraph"/>
        <w:spacing w:after="0" w:line="240" w:lineRule="auto"/>
        <w:ind w:left="648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:rsidR="007D293A" w:rsidRDefault="00C90159" w:rsidP="00C9015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This task requires you to comment critica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lly on the way in which certain</w:t>
      </w: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brands are marketed to a specific target audience, across two different media platforms. 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You must make use of the proper media language in your analysis, and highlight your points with specific examples. </w:t>
      </w:r>
    </w:p>
    <w:p w:rsidR="007D293A" w:rsidRDefault="00186AE1" w:rsidP="00C90159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4B6F6" wp14:editId="2D7BEE89">
                <wp:simplePos x="0" y="0"/>
                <wp:positionH relativeFrom="column">
                  <wp:posOffset>-78105</wp:posOffset>
                </wp:positionH>
                <wp:positionV relativeFrom="paragraph">
                  <wp:posOffset>155575</wp:posOffset>
                </wp:positionV>
                <wp:extent cx="5843905" cy="5128260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5" cy="51282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12.25pt;width:460.15pt;height:403.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" filled="f" strokecolor="#385d8a" strokeweight="2pt"/>
            </w:pict>
          </mc:Fallback>
        </mc:AlternateContent>
      </w:r>
      <w:bookmarkEnd w:id="0"/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An</w:t>
      </w:r>
      <w:r w:rsidR="001834C7"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alyse and Respond (AO2 20 marks)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Level 6 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17–20 marks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Candidates produce convincing and effective analyses of media texts. Media terminology is used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extensively and effectively. The nature and impact of media representation is explored convincingly.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There is a convincing and clear understanding and appreciation of institutional aspects of media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production. Responses, including the explanation, are cogent and </w:t>
      </w:r>
      <w:proofErr w:type="spellStart"/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well structured</w:t>
      </w:r>
      <w:proofErr w:type="spellEnd"/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with precise and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accurate use of language and arguments clearly supported by evidence.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Level 5 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13–16 marks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Candidates produce good-quality analyses of media texts. They are able to use technical terminology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with confidence. Candidates show a sound understanding of issues of media representation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and institutional aspects of media production. Responses, including the explanation, are clear and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well-organised with generally accurate use of language and evidence used to support points.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Level 4 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9–12 marks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Candidates produce a solid analysis of media texts and are able to use appropriate technical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proofErr w:type="gramStart"/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terminology</w:t>
      </w:r>
      <w:proofErr w:type="gramEnd"/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. Candidates demonstrate some understanding of representation and institutional aspects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of media production. Responses, including the explanation, are well organised with reasonably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accurate use of language and arguments are usually supported by evidence.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Level 3 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5–8 marks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Candidates show a basic grasp of textual analysis and use technical terminology occasionally. Candidates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show basic understanding of the representations offered by media texts and a basic awareness of institutional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aspects of media production. Responses are organised and points are sometimes supported by evidence.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Level 2 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1–4 marks</w:t>
      </w:r>
    </w:p>
    <w:p w:rsidR="007D293A" w:rsidRPr="001834C7" w:rsidRDefault="007D293A" w:rsidP="007D293A">
      <w:pPr>
        <w:spacing w:after="0" w:line="240" w:lineRule="auto"/>
        <w:rPr>
          <w:rFonts w:eastAsiaTheme="minorEastAsia" w:hAnsi="Calibri"/>
          <w:color w:val="000000" w:themeColor="text1"/>
          <w:kern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Candidates tend to describe media texts to demonstrate limited understanding of forms and conventions.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There may be limited awareness of representations offered by media texts or some understanding of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 xml:space="preserve"> </w:t>
      </w: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institutional aspects of media production. An attempt has been made to organise responses.</w:t>
      </w:r>
    </w:p>
    <w:p w:rsidR="007D293A" w:rsidRPr="00186AE1" w:rsidRDefault="007D293A" w:rsidP="007D293A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>Level 1</w:t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ab/>
      </w:r>
      <w:r w:rsidRPr="00186AE1">
        <w:rPr>
          <w:rFonts w:eastAsiaTheme="minorEastAsia" w:hAnsi="Calibri"/>
          <w:b/>
          <w:color w:val="000000" w:themeColor="text1"/>
          <w:kern w:val="24"/>
          <w:lang w:eastAsia="en-GB"/>
        </w:rPr>
        <w:t xml:space="preserve"> 0 marks</w:t>
      </w:r>
    </w:p>
    <w:p w:rsidR="007D293A" w:rsidRDefault="007D293A" w:rsidP="007D29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834C7">
        <w:rPr>
          <w:rFonts w:eastAsiaTheme="minorEastAsia" w:hAnsi="Calibri"/>
          <w:color w:val="000000" w:themeColor="text1"/>
          <w:kern w:val="24"/>
          <w:lang w:eastAsia="en-GB"/>
        </w:rPr>
        <w:t>No work worth the award of a mark.</w:t>
      </w:r>
    </w:p>
    <w:p w:rsidR="007D293A" w:rsidRDefault="007D293A" w:rsidP="007D29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7D293A" w:rsidRPr="00C90159" w:rsidRDefault="007D293A" w:rsidP="007D29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C90159" w:rsidRDefault="00BA734B" w:rsidP="00C90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cstheme="minorHAnsi"/>
          <w:b/>
          <w:sz w:val="24"/>
          <w:szCs w:val="24"/>
        </w:rPr>
        <w:lastRenderedPageBreak/>
        <w:t>Task 2:</w:t>
      </w:r>
      <w:r w:rsidR="00C90159" w:rsidRPr="00C90159">
        <w:rPr>
          <w:rFonts w:cstheme="minorHAnsi"/>
          <w:sz w:val="24"/>
          <w:szCs w:val="24"/>
        </w:rPr>
        <w:t xml:space="preserve"> </w:t>
      </w:r>
      <w:r w:rsidR="00C90159"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Design one storyboard and one print based advert for a new antiperspirant/deodorant product. </w:t>
      </w:r>
      <w:r w:rsid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You will need to i</w:t>
      </w:r>
      <w:r w:rsidR="00C90159"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nclude a written analysis of your adverts, which explains: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Where your adverts would appear and why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Who your target audience is, and how you made this obvious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How you plan to represent your product (what  message do you want associated with your product)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How you used the codes and conventions typically employed in this type of advertising</w:t>
      </w:r>
    </w:p>
    <w:p w:rsidR="00C90159" w:rsidRPr="00C90159" w:rsidRDefault="00C90159" w:rsidP="00C901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90159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How you adhered to any regulations that may be placed on your product</w:t>
      </w:r>
    </w:p>
    <w:p w:rsidR="00C90159" w:rsidRDefault="00C90159" w:rsidP="00C90159">
      <w:pPr>
        <w:pStyle w:val="ListParagraph"/>
        <w:spacing w:after="0" w:line="240" w:lineRule="auto"/>
        <w:ind w:left="648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[10 marks]</w:t>
      </w:r>
    </w:p>
    <w:p w:rsidR="003E594F" w:rsidRDefault="003E594F" w:rsidP="00C90159">
      <w:pPr>
        <w:pStyle w:val="ListParagraph"/>
        <w:spacing w:after="0" w:line="240" w:lineRule="auto"/>
        <w:ind w:left="6480"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:rsidR="00C90159" w:rsidRDefault="00C90159" w:rsidP="00C90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This task requires you to use the codes and conventions studied this term to create a realistic print and film based advertisement. It requires you to comment critically on how your adverts will be effective</w:t>
      </w:r>
      <w:r w:rsidR="003E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in targeting a desired audience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and how they adhere to the common con</w:t>
      </w:r>
      <w:r w:rsidR="003E59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ventions used by others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within the same industry. </w:t>
      </w:r>
    </w:p>
    <w:p w:rsidR="007D293A" w:rsidRDefault="00186AE1" w:rsidP="00C90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-23854</wp:posOffset>
                </wp:positionH>
                <wp:positionV relativeFrom="paragraph">
                  <wp:posOffset>147900</wp:posOffset>
                </wp:positionV>
                <wp:extent cx="5844209" cy="5128591"/>
                <wp:effectExtent l="0" t="0" r="234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5128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9pt;margin-top:11.65pt;width:460.15pt;height:403.8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Research, Planning and Presentation (AO3 10 marks)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Level 6 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9–10 marks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Candidates research and plan independently and effectively. They demonstrate flair and creativity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through their pre-production work which is convincing and engaged and uses appropriate forms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conventions. The two planned pieces clearly complement each other. Material is presented skilfully.</w: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Level 5 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7–8 marks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Candidates research and plan successfully. There is evidence of imagination in the pre-production 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which is clearly fit for purpose and uses many appropriate forms and conventions. The two planned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pieces complement each other. Material is presented effectively.</w: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Level 4 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5–6 marks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Candidates have researched and planned their pre-production work appropriately. Ideas are apt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mostly use appropriate conventions. There is a recognisable relationship between the two planned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pieces. Material is well presented.</w: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Level 3 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3–4 marks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Candidates show evidence of research and planning. Their ideas show some understanding 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involvement with the task and use some appropriate forms and conventions. Two planned pieces 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been offered and a connection between them is evident. There is a basic attempt to present the work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 straightforward way.</w: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Level 2 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1–2 marks</w:t>
      </w:r>
    </w:p>
    <w:p w:rsidR="002C043A" w:rsidRP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Candidates use minimal research and planning to inform their pre-production work. They have some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ideas that are at least partly relevant or appropriate to the task. Some forms and conventions may 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employed. Where two pieces of work have been planned a connection between them may be evident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although this may be implicit. Presentation of the material is limited.</w:t>
      </w:r>
    </w:p>
    <w:p w:rsidR="002C043A" w:rsidRPr="00186AE1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Level 1</w:t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ab/>
      </w:r>
      <w:r w:rsidRPr="00186A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0 marks</w:t>
      </w:r>
    </w:p>
    <w:p w:rsidR="002C043A" w:rsidRDefault="002C043A" w:rsidP="002C04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C04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 work worth the award of a mark.</w:t>
      </w:r>
    </w:p>
    <w:sectPr w:rsidR="002C04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4B" w:rsidRDefault="00BA734B" w:rsidP="00BA734B">
      <w:pPr>
        <w:spacing w:after="0" w:line="240" w:lineRule="auto"/>
      </w:pPr>
      <w:r>
        <w:separator/>
      </w:r>
    </w:p>
  </w:endnote>
  <w:endnote w:type="continuationSeparator" w:id="0">
    <w:p w:rsidR="00BA734B" w:rsidRDefault="00BA734B" w:rsidP="00BA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4B" w:rsidRDefault="00BA734B" w:rsidP="00BA734B">
      <w:pPr>
        <w:spacing w:after="0" w:line="240" w:lineRule="auto"/>
      </w:pPr>
      <w:r>
        <w:separator/>
      </w:r>
    </w:p>
  </w:footnote>
  <w:footnote w:type="continuationSeparator" w:id="0">
    <w:p w:rsidR="00BA734B" w:rsidRDefault="00BA734B" w:rsidP="00BA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2053"/>
    </w:tblGrid>
    <w:tr w:rsidR="00BA734B" w:rsidTr="008A0A42">
      <w:trPr>
        <w:trHeight w:val="288"/>
      </w:trPr>
      <w:tc>
        <w:tcPr>
          <w:tcW w:w="7203" w:type="dxa"/>
        </w:tcPr>
        <w:p w:rsidR="00BA734B" w:rsidRDefault="00186AE1" w:rsidP="008A0A42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86221DF6415D4CD6BC4C90EF6DE55D9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A734B" w:rsidRPr="00BA734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 2  Advertising Across Media Platforms</w:t>
              </w:r>
            </w:sdtContent>
          </w:sdt>
        </w:p>
      </w:tc>
      <w:tc>
        <w:tcPr>
          <w:tcW w:w="2053" w:type="dxa"/>
        </w:tcPr>
        <w:p w:rsidR="00BA734B" w:rsidRDefault="008A0A42" w:rsidP="008A0A4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GCSE Media Studies</w:t>
          </w:r>
        </w:p>
      </w:tc>
    </w:tr>
  </w:tbl>
  <w:p w:rsidR="00BA734B" w:rsidRDefault="00BA7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96BCD"/>
    <w:multiLevelType w:val="hybridMultilevel"/>
    <w:tmpl w:val="A186440C"/>
    <w:lvl w:ilvl="0" w:tplc="B9D6EF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CE50BA"/>
    <w:multiLevelType w:val="hybridMultilevel"/>
    <w:tmpl w:val="6370528C"/>
    <w:lvl w:ilvl="0" w:tplc="41163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83746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1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A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2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4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C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A8268F0"/>
    <w:multiLevelType w:val="hybridMultilevel"/>
    <w:tmpl w:val="7BA27542"/>
    <w:lvl w:ilvl="0" w:tplc="DB201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835BA"/>
    <w:multiLevelType w:val="hybridMultilevel"/>
    <w:tmpl w:val="B176AA42"/>
    <w:lvl w:ilvl="0" w:tplc="3F061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2A60C">
      <w:start w:val="15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E1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A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E4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CD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68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4B"/>
    <w:rsid w:val="0016308F"/>
    <w:rsid w:val="001834C7"/>
    <w:rsid w:val="00186AE1"/>
    <w:rsid w:val="002727D8"/>
    <w:rsid w:val="002C043A"/>
    <w:rsid w:val="003E594F"/>
    <w:rsid w:val="00577114"/>
    <w:rsid w:val="007D293A"/>
    <w:rsid w:val="00842827"/>
    <w:rsid w:val="008A0A42"/>
    <w:rsid w:val="00BA734B"/>
    <w:rsid w:val="00C90159"/>
    <w:rsid w:val="00D4710B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B"/>
  </w:style>
  <w:style w:type="paragraph" w:styleId="Footer">
    <w:name w:val="footer"/>
    <w:basedOn w:val="Normal"/>
    <w:link w:val="Foot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B"/>
  </w:style>
  <w:style w:type="paragraph" w:styleId="BalloonText">
    <w:name w:val="Balloon Text"/>
    <w:basedOn w:val="Normal"/>
    <w:link w:val="BalloonTextChar"/>
    <w:uiPriority w:val="99"/>
    <w:semiHidden/>
    <w:unhideWhenUsed/>
    <w:rsid w:val="00B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34B"/>
  </w:style>
  <w:style w:type="paragraph" w:styleId="Footer">
    <w:name w:val="footer"/>
    <w:basedOn w:val="Normal"/>
    <w:link w:val="FooterChar"/>
    <w:uiPriority w:val="99"/>
    <w:unhideWhenUsed/>
    <w:rsid w:val="00BA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34B"/>
  </w:style>
  <w:style w:type="paragraph" w:styleId="BalloonText">
    <w:name w:val="Balloon Text"/>
    <w:basedOn w:val="Normal"/>
    <w:link w:val="BalloonTextChar"/>
    <w:uiPriority w:val="99"/>
    <w:semiHidden/>
    <w:unhideWhenUsed/>
    <w:rsid w:val="00BA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8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3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0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3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3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2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2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21DF6415D4CD6BC4C90EF6DE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4443-CF3F-49B1-BF94-660C4660ECBE}"/>
      </w:docPartPr>
      <w:docPartBody>
        <w:p w:rsidR="00DE3F6E" w:rsidRDefault="00BE6D7C" w:rsidP="00BE6D7C">
          <w:pPr>
            <w:pStyle w:val="86221DF6415D4CD6BC4C90EF6DE55D9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C"/>
    <w:rsid w:val="00BE6D7C"/>
    <w:rsid w:val="00D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21DF6415D4CD6BC4C90EF6DE55D90">
    <w:name w:val="86221DF6415D4CD6BC4C90EF6DE55D90"/>
    <w:rsid w:val="00BE6D7C"/>
  </w:style>
  <w:style w:type="paragraph" w:customStyle="1" w:styleId="6ADBC52D1F9E4C688B18A71C4E30F472">
    <w:name w:val="6ADBC52D1F9E4C688B18A71C4E30F472"/>
    <w:rsid w:val="00BE6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21DF6415D4CD6BC4C90EF6DE55D90">
    <w:name w:val="86221DF6415D4CD6BC4C90EF6DE55D90"/>
    <w:rsid w:val="00BE6D7C"/>
  </w:style>
  <w:style w:type="paragraph" w:customStyle="1" w:styleId="6ADBC52D1F9E4C688B18A71C4E30F472">
    <w:name w:val="6ADBC52D1F9E4C688B18A71C4E30F472"/>
    <w:rsid w:val="00BE6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Spring 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  Advertising Across Media Platforms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  Advertising Across Media Platforms</dc:title>
  <dc:creator>krista carson</dc:creator>
  <cp:lastModifiedBy>Krista Carson</cp:lastModifiedBy>
  <cp:revision>10</cp:revision>
  <dcterms:created xsi:type="dcterms:W3CDTF">2010-12-10T11:57:00Z</dcterms:created>
  <dcterms:modified xsi:type="dcterms:W3CDTF">2011-11-15T14:45:00Z</dcterms:modified>
</cp:coreProperties>
</file>