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B" w:rsidRPr="00C90159" w:rsidRDefault="00FF226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0159">
        <w:rPr>
          <w:rFonts w:cstheme="minorHAnsi"/>
          <w:b/>
          <w:sz w:val="24"/>
          <w:szCs w:val="24"/>
          <w:u w:val="single"/>
        </w:rPr>
        <w:t>TOPIC</w:t>
      </w:r>
      <w:r w:rsidR="00BA734B" w:rsidRPr="00C90159">
        <w:rPr>
          <w:rFonts w:cstheme="minorHAnsi"/>
          <w:b/>
          <w:sz w:val="24"/>
          <w:szCs w:val="24"/>
        </w:rPr>
        <w:t xml:space="preserve">: </w:t>
      </w:r>
      <w:r w:rsidR="00943F35">
        <w:rPr>
          <w:rFonts w:cstheme="minorHAnsi"/>
          <w:b/>
          <w:sz w:val="24"/>
          <w:szCs w:val="24"/>
        </w:rPr>
        <w:t>Moving Image</w:t>
      </w:r>
    </w:p>
    <w:p w:rsidR="00F11A1F" w:rsidRPr="00F11A1F" w:rsidRDefault="00BA734B" w:rsidP="00F11A1F">
      <w:r w:rsidRPr="00C90159">
        <w:rPr>
          <w:rFonts w:cstheme="minorHAnsi"/>
          <w:b/>
          <w:sz w:val="24"/>
          <w:szCs w:val="24"/>
        </w:rPr>
        <w:t>Task 1</w:t>
      </w:r>
      <w:r w:rsidR="00943F35">
        <w:rPr>
          <w:rFonts w:cstheme="minorHAnsi"/>
          <w:color w:val="000000" w:themeColor="text1"/>
          <w:sz w:val="24"/>
          <w:szCs w:val="24"/>
        </w:rPr>
        <w:t xml:space="preserve">: </w:t>
      </w:r>
      <w:r w:rsidR="00943F35" w:rsidRPr="00F11A1F">
        <w:rPr>
          <w:rFonts w:cstheme="minorHAnsi"/>
          <w:color w:val="000000" w:themeColor="text1"/>
        </w:rPr>
        <w:t>Produce a 120 second film trailer for a feature film aimed at a specific target audience.</w:t>
      </w:r>
      <w:r w:rsidR="00F11A1F" w:rsidRPr="00F11A1F">
        <w:rPr>
          <w:rFonts w:cstheme="minorHAnsi"/>
          <w:color w:val="000000" w:themeColor="text1"/>
        </w:rPr>
        <w:t xml:space="preserve"> </w:t>
      </w:r>
      <w:r w:rsidR="00F11A1F" w:rsidRPr="00F11A1F">
        <w:rPr>
          <w:rFonts w:eastAsiaTheme="minorEastAsia" w:hAnsi="Calibri"/>
          <w:bCs/>
          <w:color w:val="000000" w:themeColor="text1"/>
          <w:kern w:val="24"/>
        </w:rPr>
        <w:t>You also need to be able to create a DVD cover and a poster to be used as part of a print campaign.</w:t>
      </w:r>
    </w:p>
    <w:p w:rsidR="00F11A1F" w:rsidRPr="00F11A1F" w:rsidRDefault="00F11A1F" w:rsidP="00F11A1F">
      <w:r>
        <w:t>Your trailer</w:t>
      </w:r>
      <w:r w:rsidRPr="00F11A1F">
        <w:t xml:space="preserve"> sequence must strike a balance between creativity and the application of appropriate codes and conventions. It must use original material wherever possible. Each member of the group must contribute to the editing process individually.</w:t>
      </w:r>
      <w:r>
        <w:t xml:space="preserve"> You need to</w:t>
      </w:r>
      <w:r w:rsidRPr="00F11A1F">
        <w:t>:</w:t>
      </w:r>
      <w:r>
        <w:br/>
        <w:t xml:space="preserve">                          * </w:t>
      </w:r>
      <w:r w:rsidRPr="00F11A1F">
        <w:t xml:space="preserve">Conduct research into existing film trailers or opening sequences. </w:t>
      </w:r>
      <w:r>
        <w:br/>
        <w:t xml:space="preserve">                          * </w:t>
      </w:r>
      <w:r w:rsidRPr="00F11A1F">
        <w:t xml:space="preserve">Conduct research into your potential audience, using analysis of existing texts, </w:t>
      </w:r>
      <w:r>
        <w:t xml:space="preserve">                             </w:t>
      </w:r>
      <w:r w:rsidRPr="00F11A1F">
        <w:t>charts, surveys, or questionnaires.</w:t>
      </w:r>
    </w:p>
    <w:p w:rsidR="00F11A1F" w:rsidRPr="00F11A1F" w:rsidRDefault="00F11A1F" w:rsidP="00F11A1F">
      <w:pPr>
        <w:rPr>
          <w:b/>
        </w:rPr>
      </w:pPr>
      <w:r w:rsidRPr="00F11A1F">
        <w:rPr>
          <w:b/>
        </w:rPr>
        <w:t xml:space="preserve">All evidence of planning should be kept and submitted, including briefs, sketches, storyboards, scripts, drafts, etc. </w:t>
      </w:r>
    </w:p>
    <w:p w:rsidR="00F11A1F" w:rsidRDefault="00F11A1F" w:rsidP="00F11A1F"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3BB208" wp14:editId="4229A2BD">
                <wp:simplePos x="0" y="0"/>
                <wp:positionH relativeFrom="column">
                  <wp:posOffset>-95416</wp:posOffset>
                </wp:positionH>
                <wp:positionV relativeFrom="paragraph">
                  <wp:posOffset>1278807</wp:posOffset>
                </wp:positionV>
                <wp:extent cx="5843905" cy="4405023"/>
                <wp:effectExtent l="0" t="0" r="234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05" cy="44050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100.7pt;width:460.15pt;height:346.8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" filled="f" strokecolor="#385d8a" strokeweight="2pt"/>
            </w:pict>
          </mc:Fallback>
        </mc:AlternateContent>
      </w:r>
      <w:r w:rsidRPr="00F11A1F">
        <w:t>To get a good grade, you should show confidence in handling technology by demonstrating:</w:t>
      </w:r>
      <w:r>
        <w:br/>
        <w:t xml:space="preserve">                           * </w:t>
      </w:r>
      <w:r w:rsidRPr="00F11A1F">
        <w:t>Careful framing of shots</w:t>
      </w:r>
      <w:r>
        <w:br/>
        <w:t xml:space="preserve">                           * </w:t>
      </w:r>
      <w:r w:rsidRPr="00F11A1F">
        <w:t>Editing appropriate to the nature of the production and audience</w:t>
      </w:r>
      <w:r>
        <w:br/>
        <w:t xml:space="preserve">                           * </w:t>
      </w:r>
      <w:r w:rsidRPr="00F11A1F">
        <w:t>Evidence of consideration being given to li</w:t>
      </w:r>
      <w:r>
        <w:t xml:space="preserve">ghting, </w:t>
      </w:r>
      <w:proofErr w:type="spellStart"/>
      <w:r>
        <w:t>mise</w:t>
      </w:r>
      <w:proofErr w:type="spellEnd"/>
      <w:r>
        <w:t>-en-scene and sound.</w:t>
      </w:r>
      <w:r>
        <w:br/>
        <w:t xml:space="preserve">                           * </w:t>
      </w:r>
      <w:r w:rsidRPr="00F11A1F">
        <w:t>The use of narration, titles, narrative clues and a selection of fast cuts of different scenes.</w:t>
      </w:r>
      <w:r>
        <w:t xml:space="preserve"> </w:t>
      </w:r>
    </w:p>
    <w:p w:rsidR="00943F35" w:rsidRDefault="00943F35" w:rsidP="00F11A1F">
      <w:pPr>
        <w:spacing w:after="0" w:line="240" w:lineRule="auto"/>
        <w:rPr>
          <w:rFonts w:ascii="HelveticaNeueLTStd-BdIt" w:hAnsi="HelveticaNeueLTStd-BdIt" w:cs="HelveticaNeueLTStd-BdIt"/>
          <w:i/>
          <w:iCs/>
          <w:color w:val="FFFFFF"/>
          <w:sz w:val="19"/>
          <w:szCs w:val="19"/>
        </w:rPr>
      </w:pPr>
      <w:r w:rsidRPr="00DB3F66">
        <w:rPr>
          <w:rFonts w:ascii="HelveticaNeueLTStd-Bd" w:hAnsi="HelveticaNeueLTStd-Bd" w:cs="HelveticaNeueLTStd-Bd"/>
          <w:b/>
          <w:color w:val="000000" w:themeColor="text1"/>
          <w:sz w:val="19"/>
          <w:szCs w:val="19"/>
        </w:rPr>
        <w:t>CONSTRUCT AND EVALUATE</w:t>
      </w:r>
      <w:r w:rsidRPr="00DB3F66">
        <w:rPr>
          <w:rFonts w:ascii="HelveticaNeueLTStd-Bd" w:hAnsi="HelveticaNeueLTStd-Bd" w:cs="HelveticaNeueLTStd-Bd"/>
          <w:b/>
          <w:color w:val="000000" w:themeColor="text1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 w:themeColor="text1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 w:themeColor="text1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 w:themeColor="text1"/>
          <w:sz w:val="19"/>
          <w:szCs w:val="19"/>
        </w:rPr>
        <w:tab/>
        <w:t>(A04 30 marks</w:t>
      </w:r>
      <w:proofErr w:type="gramStart"/>
      <w:r w:rsidRPr="00DB3F66">
        <w:rPr>
          <w:rFonts w:ascii="HelveticaNeueLTStd-Bd" w:hAnsi="HelveticaNeueLTStd-Bd" w:cs="HelveticaNeueLTStd-Bd"/>
          <w:b/>
          <w:color w:val="000000" w:themeColor="text1"/>
          <w:sz w:val="19"/>
          <w:szCs w:val="19"/>
        </w:rPr>
        <w:t>)</w:t>
      </w:r>
      <w:r w:rsidRPr="00DB3F66">
        <w:rPr>
          <w:rFonts w:ascii="HelveticaNeueLTStd-Bd" w:hAnsi="HelveticaNeueLTStd-Bd" w:cs="HelveticaNeueLTStd-Bd"/>
          <w:b/>
          <w:color w:val="FFFFFF"/>
          <w:sz w:val="19"/>
          <w:szCs w:val="19"/>
        </w:rPr>
        <w:t>Construct</w:t>
      </w:r>
      <w:proofErr w:type="gramEnd"/>
      <w:r>
        <w:rPr>
          <w:rFonts w:ascii="HelveticaNeueLTStd-Bd" w:hAnsi="HelveticaNeueLTStd-Bd" w:cs="HelveticaNeueLTStd-Bd"/>
          <w:color w:val="FFFFFF"/>
          <w:sz w:val="19"/>
          <w:szCs w:val="19"/>
        </w:rPr>
        <w:t xml:space="preserve"> and Evaluate </w:t>
      </w:r>
      <w:r>
        <w:rPr>
          <w:rFonts w:ascii="HelveticaNeueLTStd-BdIt" w:hAnsi="HelveticaNeueLTStd-BdIt" w:cs="HelveticaNeueLTStd-BdIt"/>
          <w:i/>
          <w:iCs/>
          <w:color w:val="FFFFFF"/>
          <w:sz w:val="19"/>
          <w:szCs w:val="19"/>
        </w:rPr>
        <w:t>(AO4 30 marks)</w:t>
      </w:r>
    </w:p>
    <w:p w:rsidR="00943F35" w:rsidRPr="00DB3F66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6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>25–30 marks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construct their product(s) using production skills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appropriately and effectively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. They handle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technology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confidently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, including ICT, and use the techniques and conventions of the chosen medium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and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genre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creatively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They evaluate their products making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cogent and critical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connections between the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experience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of carrying out the production and all the key concepts. Evaluation responses are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communicated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using accurate spelling, punctuation and grammar.</w:t>
      </w:r>
    </w:p>
    <w:p w:rsidR="00943F35" w:rsidRPr="00DB3F66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5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>19–24 marks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construct their product(s) using production skills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clearly and appropriately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. They handle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technology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competently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, including ICT, and use the techniques and conventions of the chosen medium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and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genre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effectively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They evaluate their products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successfully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, making connections between the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production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and the key concepts. Evaluation responses are communicated using mainly accurate spelling,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punctuation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and grammar.</w:t>
      </w:r>
    </w:p>
    <w:p w:rsidR="00943F35" w:rsidRPr="00DB3F66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>Level 4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 13–18 marks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construct their product(s) using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appropriate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production skills. They utilise technology,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including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ICT, and use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appropriate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techniques and conventions of their chosen medium and genre.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When evaluating their products they are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able to discuss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how some of the key concepts have informed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their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production. Evaluation responses are communicated using some accurate spelling, punctuation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and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grammar.</w:t>
      </w:r>
    </w:p>
    <w:p w:rsidR="00943F35" w:rsidRPr="00DB3F66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3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>7–12 marks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construct their product(s) using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some appropriate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skills. There is evidence of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some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Bd" w:hAnsi="HelveticaNeueLTStd-Bd" w:cs="HelveticaNeueLTStd-Bd"/>
          <w:color w:val="000000"/>
          <w:sz w:val="19"/>
          <w:szCs w:val="19"/>
        </w:rPr>
        <w:t>appropriate</w:t>
      </w:r>
      <w:proofErr w:type="gram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techniques, including ICT, and conventions of their chosen medium and genre. Evaluation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may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be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largely descriptive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but some key concepts may be addressed. In the evaluation, communication,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including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spelling, punctuation and grammar may not be wholly effective.</w:t>
      </w:r>
    </w:p>
    <w:p w:rsidR="00943F35" w:rsidRPr="00DB3F66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2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>1–6 marks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>Candidates attempt to use practical processes, techniques and technologies, including ICT, to create a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Bd" w:hAnsi="HelveticaNeueLTStd-Bd" w:cs="HelveticaNeueLTStd-Bd"/>
          <w:color w:val="000000"/>
          <w:sz w:val="19"/>
          <w:szCs w:val="19"/>
        </w:rPr>
        <w:t>recognisable</w:t>
      </w:r>
      <w:proofErr w:type="gram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media product. They provide a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simple review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of the production. In the evaluation,</w:t>
      </w:r>
    </w:p>
    <w:p w:rsidR="00943F35" w:rsidRDefault="00943F35" w:rsidP="00943F3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communication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>, including spelling, punctuation and grammar may be limited.</w:t>
      </w:r>
    </w:p>
    <w:p w:rsidR="000C4A1D" w:rsidRDefault="00943F35" w:rsidP="006E51E4">
      <w:pPr>
        <w:rPr>
          <w:rFonts w:cstheme="minorHAnsi"/>
          <w:b/>
          <w:sz w:val="24"/>
          <w:szCs w:val="24"/>
        </w:rPr>
      </w:pP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1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DB3F66">
        <w:rPr>
          <w:rFonts w:ascii="HelveticaNeueLTStd-Bd" w:hAnsi="HelveticaNeueLTStd-Bd" w:cs="HelveticaNeueLTStd-Bd"/>
          <w:b/>
          <w:color w:val="000000"/>
          <w:sz w:val="19"/>
          <w:szCs w:val="19"/>
        </w:rPr>
        <w:t>0 marks</w:t>
      </w:r>
    </w:p>
    <w:p w:rsidR="000C4A1D" w:rsidRDefault="000C4A1D" w:rsidP="00C9015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51E4" w:rsidRPr="00FB5E16" w:rsidRDefault="00BA734B" w:rsidP="006E51E4">
      <w:pPr>
        <w:rPr>
          <w:rFonts w:eastAsiaTheme="minorEastAsia" w:hAnsi="Calibri"/>
          <w:b/>
          <w:color w:val="000000" w:themeColor="text1"/>
          <w:kern w:val="24"/>
        </w:rPr>
      </w:pPr>
      <w:r w:rsidRPr="00C90159">
        <w:rPr>
          <w:rFonts w:cstheme="minorHAnsi"/>
          <w:b/>
          <w:sz w:val="24"/>
          <w:szCs w:val="24"/>
        </w:rPr>
        <w:lastRenderedPageBreak/>
        <w:t>Task 2:</w:t>
      </w:r>
      <w:r w:rsidR="00C90159" w:rsidRPr="00C90159">
        <w:rPr>
          <w:rFonts w:cstheme="minorHAnsi"/>
          <w:sz w:val="24"/>
          <w:szCs w:val="24"/>
        </w:rPr>
        <w:t xml:space="preserve"> </w:t>
      </w:r>
      <w:r w:rsidR="006E51E4" w:rsidRPr="00FB53F2">
        <w:rPr>
          <w:rFonts w:eastAsiaTheme="minorEastAsia" w:hAnsi="Calibri"/>
          <w:color w:val="000000" w:themeColor="text1"/>
          <w:kern w:val="24"/>
        </w:rPr>
        <w:t>Each member of the group must write a 700-800 word evaluation on how the final product effectively addresses all for key media concepts (Media Language, Audience, Institution and Representation).</w:t>
      </w:r>
      <w:r w:rsidR="006E51E4" w:rsidRPr="00FB5E16">
        <w:rPr>
          <w:rFonts w:eastAsiaTheme="minorEastAsia" w:hAnsi="Calibri"/>
          <w:b/>
          <w:color w:val="000000" w:themeColor="text1"/>
          <w:kern w:val="24"/>
        </w:rPr>
        <w:t xml:space="preserve"> </w:t>
      </w:r>
    </w:p>
    <w:p w:rsidR="006E51E4" w:rsidRPr="00FB5E16" w:rsidRDefault="006E51E4" w:rsidP="006E51E4">
      <w:pPr>
        <w:rPr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Each member of the group must </w:t>
      </w:r>
      <w:r w:rsidRPr="00FB5E16">
        <w:rPr>
          <w:rFonts w:eastAsiaTheme="minorEastAsia" w:hAnsi="Calibri"/>
          <w:color w:val="000000" w:themeColor="text1"/>
          <w:kern w:val="24"/>
        </w:rPr>
        <w:t xml:space="preserve">have a specific role/task to complete, and it must be clearly indicated in the written evaluation. </w:t>
      </w:r>
      <w:r w:rsidRPr="00FB5E16">
        <w:rPr>
          <w:rFonts w:eastAsiaTheme="minorEastAsia" w:hAnsi="Calibri"/>
          <w:color w:val="000000" w:themeColor="text1"/>
          <w:kern w:val="24"/>
          <w:sz w:val="24"/>
          <w:szCs w:val="24"/>
        </w:rPr>
        <w:t>Each member must submit their own individual evidence of research and planning in the written evaluation.</w:t>
      </w:r>
    </w:p>
    <w:p w:rsidR="006E51E4" w:rsidRDefault="006E51E4" w:rsidP="006E51E4">
      <w:pPr>
        <w:spacing w:after="0"/>
        <w:rPr>
          <w:sz w:val="24"/>
          <w:szCs w:val="24"/>
        </w:rPr>
      </w:pPr>
      <w:r w:rsidRPr="006E51E4">
        <w:rPr>
          <w:sz w:val="24"/>
          <w:szCs w:val="24"/>
        </w:rPr>
        <w:t>You should reflect on:</w:t>
      </w:r>
    </w:p>
    <w:p w:rsidR="006E51E4" w:rsidRPr="006E51E4" w:rsidRDefault="006E51E4" w:rsidP="006E51E4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6E51E4">
        <w:rPr>
          <w:sz w:val="24"/>
          <w:szCs w:val="24"/>
        </w:rPr>
        <w:t>How the aims of the production have been met</w:t>
      </w:r>
    </w:p>
    <w:p w:rsidR="006E51E4" w:rsidRPr="00FB5E16" w:rsidRDefault="006E51E4" w:rsidP="006E51E4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5E16">
        <w:rPr>
          <w:sz w:val="24"/>
          <w:szCs w:val="24"/>
        </w:rPr>
        <w:t>How the product applies appropriate codes and conventions and uses appropriate media language</w:t>
      </w:r>
    </w:p>
    <w:p w:rsidR="006E51E4" w:rsidRPr="00FB5E16" w:rsidRDefault="006E51E4" w:rsidP="006E51E4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5E16">
        <w:rPr>
          <w:sz w:val="24"/>
          <w:szCs w:val="24"/>
        </w:rPr>
        <w:t>How the product represents people, places or events</w:t>
      </w:r>
    </w:p>
    <w:p w:rsidR="006E51E4" w:rsidRPr="00FB5E16" w:rsidRDefault="006E51E4" w:rsidP="006E51E4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5E16">
        <w:rPr>
          <w:sz w:val="24"/>
          <w:szCs w:val="24"/>
        </w:rPr>
        <w:t>Where and when the product would be exhibited</w:t>
      </w:r>
    </w:p>
    <w:p w:rsidR="006E51E4" w:rsidRPr="00FB5E16" w:rsidRDefault="006E51E4" w:rsidP="006E51E4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5E16">
        <w:rPr>
          <w:sz w:val="24"/>
          <w:szCs w:val="24"/>
        </w:rPr>
        <w:t>What regulations and controls might be applied to the product and how these have been taken into consideration</w:t>
      </w:r>
    </w:p>
    <w:p w:rsidR="00BC3B45" w:rsidRDefault="006E51E4" w:rsidP="00BC3B45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5E16">
        <w:rPr>
          <w:sz w:val="24"/>
          <w:szCs w:val="24"/>
        </w:rPr>
        <w:t xml:space="preserve">The strengths and weaknesses of the product in terms of meeting the needs of its audience. </w:t>
      </w:r>
    </w:p>
    <w:p w:rsidR="007D293A" w:rsidRPr="00BC3B45" w:rsidRDefault="00186AE1" w:rsidP="00BC3B45">
      <w:pPr>
        <w:spacing w:after="0"/>
        <w:ind w:left="144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7F59E" wp14:editId="58F6981F">
                <wp:simplePos x="0" y="0"/>
                <wp:positionH relativeFrom="column">
                  <wp:posOffset>-23854</wp:posOffset>
                </wp:positionH>
                <wp:positionV relativeFrom="paragraph">
                  <wp:posOffset>149418</wp:posOffset>
                </wp:positionV>
                <wp:extent cx="5844209" cy="4293705"/>
                <wp:effectExtent l="0" t="0" r="234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4293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9pt;margin-top:11.75pt;width:460.15pt;height:338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23eQIAAEU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RESEARCH, PLANNING and PRESENTATION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ab/>
        <w:t>(A03 15 Marks)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9"/>
          <w:szCs w:val="19"/>
        </w:rPr>
      </w:pPr>
      <w:r>
        <w:rPr>
          <w:rFonts w:ascii="HelveticaNeueLTStd-Bd" w:hAnsi="HelveticaNeueLTStd-Bd" w:cs="HelveticaNeueLTStd-Bd"/>
          <w:color w:val="FFFFFF"/>
          <w:sz w:val="19"/>
          <w:szCs w:val="19"/>
        </w:rPr>
        <w:t>Assignment 3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It" w:hAnsi="HelveticaNeueLTStd-BdIt" w:cs="HelveticaNeueLTStd-BdIt"/>
          <w:i/>
          <w:iCs/>
          <w:color w:val="FFFFFF"/>
          <w:sz w:val="19"/>
          <w:szCs w:val="19"/>
        </w:rPr>
      </w:pPr>
      <w:r>
        <w:rPr>
          <w:rFonts w:ascii="HelveticaNeueLTStd-Bd" w:hAnsi="HelveticaNeueLTStd-Bd" w:cs="HelveticaNeueLTStd-Bd"/>
          <w:color w:val="FFFFFF"/>
          <w:sz w:val="19"/>
          <w:szCs w:val="19"/>
        </w:rPr>
        <w:t xml:space="preserve">Research, Planning and Presentation </w:t>
      </w:r>
      <w:r>
        <w:rPr>
          <w:rFonts w:ascii="HelveticaNeueLTStd-BdIt" w:hAnsi="HelveticaNeueLTStd-BdIt" w:cs="HelveticaNeueLTStd-BdIt"/>
          <w:i/>
          <w:iCs/>
          <w:color w:val="FFFFFF"/>
          <w:sz w:val="19"/>
          <w:szCs w:val="19"/>
        </w:rPr>
        <w:t>(AO3 15 marks)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>Level 6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 13–15 marks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research and plan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independently and effectively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They demonstrate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flair and creativity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through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their pre-production work which is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convincing and engaged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and uses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appropriate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forms and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conventions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They draw on relevant products, concepts and contexts. Material is presented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skilfully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.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There is a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clear understanding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of how audiences are identified and how production is tailored to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audience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needs and expectations.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5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>10–12 marks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research and plan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successfully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There is evidence of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imagination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in the pre-production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work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which is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clearly fit for purpose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and uses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many appropriate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forms and conventions. Material is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presented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effectively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. Audiences are identified, their needs are taken into consideration and awareness is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demonstrated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of how this has shaped the ideas.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4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>7–9 marks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have researched and planned their pre-production work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appropriately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Ideas are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apt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and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Bd" w:hAnsi="HelveticaNeueLTStd-Bd" w:cs="HelveticaNeueLTStd-Bd"/>
          <w:color w:val="000000"/>
          <w:sz w:val="19"/>
          <w:szCs w:val="19"/>
        </w:rPr>
        <w:t>mostly</w:t>
      </w:r>
      <w:proofErr w:type="gram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employ appropriate forms and conventions. Material is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well presented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. Candidates are able to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b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identify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and target audiences. They indicate how this has informed their plans and ideas.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3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>4–6 marks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show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evidence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of research and planning. Their ideas show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some understanding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and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involvement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with the task and use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some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appropriate forms and conventions. There is a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basic attempt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to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present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the work in a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straightforward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way.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Some understanding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of appealing to a potential audience is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evident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>.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2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>1–3 marks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Candidates use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minimal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research and planning to inform their pre-production work. They have some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ideas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 that are at least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partly relevant or appropriate 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to the task. Some forms and conventions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may be</w:t>
      </w:r>
    </w:p>
    <w:p w:rsidR="000C4A1D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19"/>
          <w:szCs w:val="19"/>
        </w:rPr>
      </w:pPr>
      <w:proofErr w:type="gramStart"/>
      <w:r>
        <w:rPr>
          <w:rFonts w:ascii="HelveticaNeueLTStd-Lt" w:hAnsi="HelveticaNeueLTStd-Lt" w:cs="HelveticaNeueLTStd-Lt"/>
          <w:color w:val="000000"/>
          <w:sz w:val="19"/>
          <w:szCs w:val="19"/>
        </w:rPr>
        <w:t>employed</w:t>
      </w:r>
      <w:proofErr w:type="gramEnd"/>
      <w:r>
        <w:rPr>
          <w:rFonts w:ascii="HelveticaNeueLTStd-Lt" w:hAnsi="HelveticaNeueLTStd-Lt" w:cs="HelveticaNeueLTStd-Lt"/>
          <w:color w:val="000000"/>
          <w:sz w:val="19"/>
          <w:szCs w:val="19"/>
        </w:rPr>
        <w:t xml:space="preserve">. Presentation of the material is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>limited</w:t>
      </w:r>
      <w:r>
        <w:rPr>
          <w:rFonts w:ascii="HelveticaNeueLTStd-Lt" w:hAnsi="HelveticaNeueLTStd-Lt" w:cs="HelveticaNeueLTStd-Lt"/>
          <w:color w:val="000000"/>
          <w:sz w:val="19"/>
          <w:szCs w:val="19"/>
        </w:rPr>
        <w:t>.</w:t>
      </w:r>
    </w:p>
    <w:p w:rsidR="000C4A1D" w:rsidRPr="00FC163B" w:rsidRDefault="000C4A1D" w:rsidP="000C4A1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9"/>
          <w:szCs w:val="19"/>
        </w:rPr>
      </w:pP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 xml:space="preserve">Level 1 </w:t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>
        <w:rPr>
          <w:rFonts w:ascii="HelveticaNeueLTStd-Bd" w:hAnsi="HelveticaNeueLTStd-Bd" w:cs="HelveticaNeueLTStd-Bd"/>
          <w:b/>
          <w:color w:val="000000"/>
          <w:sz w:val="19"/>
          <w:szCs w:val="19"/>
        </w:rPr>
        <w:tab/>
      </w:r>
      <w:r w:rsidRPr="00FC163B">
        <w:rPr>
          <w:rFonts w:ascii="HelveticaNeueLTStd-Bd" w:hAnsi="HelveticaNeueLTStd-Bd" w:cs="HelveticaNeueLTStd-Bd"/>
          <w:b/>
          <w:color w:val="000000"/>
          <w:sz w:val="19"/>
          <w:szCs w:val="19"/>
        </w:rPr>
        <w:t>0 marks</w:t>
      </w:r>
    </w:p>
    <w:p w:rsidR="000C4A1D" w:rsidRDefault="000C4A1D" w:rsidP="000C4A1D">
      <w:pPr>
        <w:rPr>
          <w:rFonts w:ascii="HelveticaNeueLTStd-Lt" w:hAnsi="HelveticaNeueLTStd-Lt" w:cs="HelveticaNeueLTStd-Lt"/>
          <w:color w:val="000000"/>
          <w:sz w:val="19"/>
          <w:szCs w:val="19"/>
        </w:rPr>
      </w:pPr>
      <w:r>
        <w:rPr>
          <w:rFonts w:ascii="HelveticaNeueLTStd-Lt" w:hAnsi="HelveticaNeueLTStd-Lt" w:cs="HelveticaNeueLTStd-Lt"/>
          <w:color w:val="000000"/>
          <w:sz w:val="19"/>
          <w:szCs w:val="19"/>
        </w:rPr>
        <w:t>No work worth the award of a mark.</w:t>
      </w:r>
    </w:p>
    <w:p w:rsid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sectPr w:rsidR="002C04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B" w:rsidRDefault="00BA734B" w:rsidP="00BA734B">
      <w:pPr>
        <w:spacing w:after="0" w:line="240" w:lineRule="auto"/>
      </w:pPr>
      <w:r>
        <w:separator/>
      </w:r>
    </w:p>
  </w:endnote>
  <w:endnote w:type="continuationSeparator" w:id="0">
    <w:p w:rsidR="00BA734B" w:rsidRDefault="00BA734B" w:rsidP="00B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B" w:rsidRDefault="00BA734B" w:rsidP="00BA734B">
      <w:pPr>
        <w:spacing w:after="0" w:line="240" w:lineRule="auto"/>
      </w:pPr>
      <w:r>
        <w:separator/>
      </w:r>
    </w:p>
  </w:footnote>
  <w:footnote w:type="continuationSeparator" w:id="0">
    <w:p w:rsidR="00BA734B" w:rsidRDefault="00BA734B" w:rsidP="00B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2053"/>
    </w:tblGrid>
    <w:tr w:rsidR="00BA734B" w:rsidTr="008A0A42">
      <w:trPr>
        <w:trHeight w:val="288"/>
      </w:trPr>
      <w:tc>
        <w:tcPr>
          <w:tcW w:w="7203" w:type="dxa"/>
        </w:tcPr>
        <w:p w:rsidR="00BA734B" w:rsidRDefault="00E10D64" w:rsidP="00E10D64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86221DF6415D4CD6BC4C90EF6DE55D9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43F3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Assignment 3</w:t>
              </w:r>
              <w:r w:rsidR="00BA734B" w:rsidRPr="00BA734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Creating a Film Trailer</w:t>
              </w:r>
            </w:sdtContent>
          </w:sdt>
        </w:p>
      </w:tc>
      <w:tc>
        <w:tcPr>
          <w:tcW w:w="2053" w:type="dxa"/>
        </w:tcPr>
        <w:p w:rsidR="00BA734B" w:rsidRDefault="008A0A42" w:rsidP="008A0A4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GCSE Media Studies</w:t>
          </w:r>
        </w:p>
      </w:tc>
    </w:tr>
  </w:tbl>
  <w:p w:rsidR="00BA734B" w:rsidRDefault="00BA7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BCD"/>
    <w:multiLevelType w:val="hybridMultilevel"/>
    <w:tmpl w:val="A186440C"/>
    <w:lvl w:ilvl="0" w:tplc="B9D6EF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C4870"/>
    <w:multiLevelType w:val="hybridMultilevel"/>
    <w:tmpl w:val="44E0D6F0"/>
    <w:lvl w:ilvl="0" w:tplc="31FC1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3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4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2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A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8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CE50BA"/>
    <w:multiLevelType w:val="hybridMultilevel"/>
    <w:tmpl w:val="6370528C"/>
    <w:lvl w:ilvl="0" w:tplc="4116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3746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1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A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2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4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492C55"/>
    <w:multiLevelType w:val="hybridMultilevel"/>
    <w:tmpl w:val="B59C96BC"/>
    <w:lvl w:ilvl="0" w:tplc="F3C6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7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058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2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C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E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8268F0"/>
    <w:multiLevelType w:val="hybridMultilevel"/>
    <w:tmpl w:val="7BA27542"/>
    <w:lvl w:ilvl="0" w:tplc="DB201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835BA"/>
    <w:multiLevelType w:val="hybridMultilevel"/>
    <w:tmpl w:val="B176AA42"/>
    <w:lvl w:ilvl="0" w:tplc="3F06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2A60C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E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A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4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0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D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B"/>
    <w:rsid w:val="000C4A1D"/>
    <w:rsid w:val="0016308F"/>
    <w:rsid w:val="001834C7"/>
    <w:rsid w:val="00186AE1"/>
    <w:rsid w:val="002727D8"/>
    <w:rsid w:val="002C043A"/>
    <w:rsid w:val="003E594F"/>
    <w:rsid w:val="00577114"/>
    <w:rsid w:val="006E51E4"/>
    <w:rsid w:val="007D293A"/>
    <w:rsid w:val="00842827"/>
    <w:rsid w:val="008A0A42"/>
    <w:rsid w:val="00943F35"/>
    <w:rsid w:val="009F45E9"/>
    <w:rsid w:val="00BA734B"/>
    <w:rsid w:val="00BC3B45"/>
    <w:rsid w:val="00C90159"/>
    <w:rsid w:val="00D4710B"/>
    <w:rsid w:val="00E10D64"/>
    <w:rsid w:val="00F11A1F"/>
    <w:rsid w:val="00F730EA"/>
    <w:rsid w:val="00F92387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B"/>
  </w:style>
  <w:style w:type="paragraph" w:styleId="Footer">
    <w:name w:val="footer"/>
    <w:basedOn w:val="Normal"/>
    <w:link w:val="Foot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B"/>
  </w:style>
  <w:style w:type="paragraph" w:styleId="BalloonText">
    <w:name w:val="Balloon Text"/>
    <w:basedOn w:val="Normal"/>
    <w:link w:val="BalloonTextChar"/>
    <w:uiPriority w:val="99"/>
    <w:semiHidden/>
    <w:unhideWhenUsed/>
    <w:rsid w:val="00B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B"/>
  </w:style>
  <w:style w:type="paragraph" w:styleId="Footer">
    <w:name w:val="footer"/>
    <w:basedOn w:val="Normal"/>
    <w:link w:val="Foot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B"/>
  </w:style>
  <w:style w:type="paragraph" w:styleId="BalloonText">
    <w:name w:val="Balloon Text"/>
    <w:basedOn w:val="Normal"/>
    <w:link w:val="BalloonTextChar"/>
    <w:uiPriority w:val="99"/>
    <w:semiHidden/>
    <w:unhideWhenUsed/>
    <w:rsid w:val="00B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2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2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21DF6415D4CD6BC4C90EF6DE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4443-CF3F-49B1-BF94-660C4660ECBE}"/>
      </w:docPartPr>
      <w:docPartBody>
        <w:p w:rsidR="00DE3F6E" w:rsidRDefault="00BE6D7C" w:rsidP="00BE6D7C">
          <w:pPr>
            <w:pStyle w:val="86221DF6415D4CD6BC4C90EF6DE55D9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C"/>
    <w:rsid w:val="00BE6D7C"/>
    <w:rsid w:val="00D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21DF6415D4CD6BC4C90EF6DE55D90">
    <w:name w:val="86221DF6415D4CD6BC4C90EF6DE55D90"/>
    <w:rsid w:val="00BE6D7C"/>
  </w:style>
  <w:style w:type="paragraph" w:customStyle="1" w:styleId="6ADBC52D1F9E4C688B18A71C4E30F472">
    <w:name w:val="6ADBC52D1F9E4C688B18A71C4E30F472"/>
    <w:rsid w:val="00BE6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21DF6415D4CD6BC4C90EF6DE55D90">
    <w:name w:val="86221DF6415D4CD6BC4C90EF6DE55D90"/>
    <w:rsid w:val="00BE6D7C"/>
  </w:style>
  <w:style w:type="paragraph" w:customStyle="1" w:styleId="6ADBC52D1F9E4C688B18A71C4E30F472">
    <w:name w:val="6ADBC52D1F9E4C688B18A71C4E30F472"/>
    <w:rsid w:val="00BE6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3 Practical Production and Evaluation</vt:lpstr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 Creating a Film Trailer</dc:title>
  <dc:creator>krista carson</dc:creator>
  <cp:lastModifiedBy>Krista Carson</cp:lastModifiedBy>
  <cp:revision>9</cp:revision>
  <dcterms:created xsi:type="dcterms:W3CDTF">2011-11-15T14:50:00Z</dcterms:created>
  <dcterms:modified xsi:type="dcterms:W3CDTF">2012-02-27T10:39:00Z</dcterms:modified>
</cp:coreProperties>
</file>